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C1DFCA" w14:textId="77777777" w:rsidR="00B23586" w:rsidRPr="00A56D84" w:rsidRDefault="00000000">
      <w:pPr>
        <w:spacing w:after="20"/>
        <w:jc w:val="center"/>
        <w:rPr>
          <w:rFonts w:asciiTheme="majorHAnsi" w:hAnsiTheme="majorHAnsi" w:cstheme="majorHAnsi"/>
          <w:sz w:val="24"/>
          <w:szCs w:val="24"/>
        </w:rPr>
      </w:pPr>
      <w:r w:rsidRPr="00A56D84">
        <w:rPr>
          <w:rFonts w:asciiTheme="majorHAnsi" w:hAnsiTheme="majorHAnsi" w:cstheme="majorHAnsi"/>
          <w:b/>
          <w:color w:val="182C40"/>
          <w:sz w:val="24"/>
          <w:szCs w:val="24"/>
        </w:rPr>
        <w:t>BHASHIT BHARDWAJ</w:t>
      </w:r>
    </w:p>
    <w:p w14:paraId="21B33302" w14:textId="77777777" w:rsidR="00B23586" w:rsidRPr="00A56D84" w:rsidRDefault="00000000">
      <w:pPr>
        <w:spacing w:after="20"/>
        <w:jc w:val="center"/>
        <w:rPr>
          <w:rFonts w:asciiTheme="majorHAnsi" w:hAnsiTheme="majorHAnsi" w:cstheme="majorHAnsi"/>
          <w:sz w:val="24"/>
          <w:szCs w:val="24"/>
        </w:rPr>
      </w:pPr>
      <w:r w:rsidRPr="00A56D84">
        <w:rPr>
          <w:rFonts w:asciiTheme="majorHAnsi" w:hAnsiTheme="majorHAnsi" w:cstheme="majorHAnsi"/>
          <w:b/>
          <w:color w:val="2D2D2D"/>
          <w:sz w:val="24"/>
          <w:szCs w:val="24"/>
        </w:rPr>
        <w:t>Vice President &amp; Head of AI Transformation | HDL - AGL (Hakuhodo)</w:t>
      </w:r>
    </w:p>
    <w:p w14:paraId="72B89968" w14:textId="77777777" w:rsidR="00B23586" w:rsidRPr="00A56D84" w:rsidRDefault="00000000">
      <w:pPr>
        <w:spacing w:after="50"/>
        <w:jc w:val="center"/>
        <w:rPr>
          <w:rFonts w:asciiTheme="majorHAnsi" w:hAnsiTheme="majorHAnsi" w:cstheme="majorHAnsi"/>
          <w:sz w:val="24"/>
          <w:szCs w:val="24"/>
        </w:rPr>
      </w:pPr>
      <w:r w:rsidRPr="00A56D84">
        <w:rPr>
          <w:rFonts w:asciiTheme="majorHAnsi" w:hAnsiTheme="majorHAnsi" w:cstheme="majorHAnsi"/>
          <w:color w:val="375F7D"/>
          <w:sz w:val="24"/>
          <w:szCs w:val="24"/>
        </w:rPr>
        <w:t>Enterprise AI Strategy | Business Transformation | GenAI &amp; Agentic AI | CXO Advisory | Data Platforms</w:t>
      </w:r>
    </w:p>
    <w:p w14:paraId="2EE22823" w14:textId="77777777" w:rsidR="00B23586" w:rsidRPr="00A56D84" w:rsidRDefault="00000000">
      <w:pPr>
        <w:spacing w:after="80"/>
        <w:jc w:val="center"/>
        <w:rPr>
          <w:rFonts w:asciiTheme="majorHAnsi" w:hAnsiTheme="majorHAnsi" w:cstheme="majorHAnsi"/>
          <w:sz w:val="24"/>
          <w:szCs w:val="24"/>
        </w:rPr>
      </w:pPr>
      <w:r w:rsidRPr="00A56D84">
        <w:rPr>
          <w:rFonts w:asciiTheme="majorHAnsi" w:hAnsiTheme="majorHAnsi" w:cstheme="majorHAnsi"/>
          <w:color w:val="505050"/>
          <w:sz w:val="24"/>
          <w:szCs w:val="24"/>
        </w:rPr>
        <w:t xml:space="preserve">Gurugram, </w:t>
      </w:r>
      <w:proofErr w:type="gramStart"/>
      <w:r w:rsidRPr="00A56D84">
        <w:rPr>
          <w:rFonts w:asciiTheme="majorHAnsi" w:hAnsiTheme="majorHAnsi" w:cstheme="majorHAnsi"/>
          <w:color w:val="505050"/>
          <w:sz w:val="24"/>
          <w:szCs w:val="24"/>
        </w:rPr>
        <w:t>India  •</w:t>
      </w:r>
      <w:proofErr w:type="gramEnd"/>
      <w:r w:rsidRPr="00A56D84">
        <w:rPr>
          <w:rFonts w:asciiTheme="majorHAnsi" w:hAnsiTheme="majorHAnsi" w:cstheme="majorHAnsi"/>
          <w:color w:val="505050"/>
          <w:sz w:val="24"/>
          <w:szCs w:val="24"/>
        </w:rPr>
        <w:t xml:space="preserve">  +91 97177 </w:t>
      </w:r>
      <w:proofErr w:type="gramStart"/>
      <w:r w:rsidRPr="00A56D84">
        <w:rPr>
          <w:rFonts w:asciiTheme="majorHAnsi" w:hAnsiTheme="majorHAnsi" w:cstheme="majorHAnsi"/>
          <w:color w:val="505050"/>
          <w:sz w:val="24"/>
          <w:szCs w:val="24"/>
        </w:rPr>
        <w:t>55078  •</w:t>
      </w:r>
      <w:proofErr w:type="gramEnd"/>
      <w:r w:rsidRPr="00A56D84">
        <w:rPr>
          <w:rFonts w:asciiTheme="majorHAnsi" w:hAnsiTheme="majorHAnsi" w:cstheme="majorHAnsi"/>
          <w:color w:val="505050"/>
          <w:sz w:val="24"/>
          <w:szCs w:val="24"/>
        </w:rPr>
        <w:t xml:space="preserve">  </w:t>
      </w:r>
      <w:proofErr w:type="gramStart"/>
      <w:r w:rsidRPr="00A56D84">
        <w:rPr>
          <w:rFonts w:asciiTheme="majorHAnsi" w:hAnsiTheme="majorHAnsi" w:cstheme="majorHAnsi"/>
          <w:color w:val="505050"/>
          <w:sz w:val="24"/>
          <w:szCs w:val="24"/>
        </w:rPr>
        <w:t>bhashitbhardwaj@gmail.com  •</w:t>
      </w:r>
      <w:proofErr w:type="gramEnd"/>
      <w:r w:rsidRPr="00A56D84">
        <w:rPr>
          <w:rFonts w:asciiTheme="majorHAnsi" w:hAnsiTheme="majorHAnsi" w:cstheme="majorHAnsi"/>
          <w:color w:val="505050"/>
          <w:sz w:val="24"/>
          <w:szCs w:val="24"/>
        </w:rPr>
        <w:t xml:space="preserve">  </w:t>
      </w:r>
      <w:hyperlink r:id="rId8">
        <w:r w:rsidR="00B23586" w:rsidRPr="00A56D84">
          <w:rPr>
            <w:rFonts w:asciiTheme="majorHAnsi" w:hAnsiTheme="majorHAnsi" w:cstheme="majorHAnsi"/>
            <w:color w:val="365F91"/>
            <w:sz w:val="24"/>
            <w:szCs w:val="24"/>
            <w:u w:val="single"/>
          </w:rPr>
          <w:t>linkedin.com/in/bhashitbhardwaj</w:t>
        </w:r>
      </w:hyperlink>
    </w:p>
    <w:p w14:paraId="352A9C36" w14:textId="77777777" w:rsidR="00B23586" w:rsidRPr="00A56D84" w:rsidRDefault="00000000">
      <w:pPr>
        <w:keepNext/>
        <w:pBdr>
          <w:bottom w:val="single" w:sz="8" w:space="1" w:color="B7C9D6"/>
        </w:pBdr>
        <w:spacing w:before="100" w:after="50"/>
        <w:rPr>
          <w:rFonts w:asciiTheme="majorHAnsi" w:hAnsiTheme="majorHAnsi" w:cstheme="majorHAnsi"/>
          <w:sz w:val="24"/>
          <w:szCs w:val="24"/>
        </w:rPr>
      </w:pPr>
      <w:r w:rsidRPr="00A56D84">
        <w:rPr>
          <w:rFonts w:asciiTheme="majorHAnsi" w:hAnsiTheme="majorHAnsi" w:cstheme="majorHAnsi"/>
          <w:b/>
          <w:color w:val="1F3750"/>
          <w:sz w:val="24"/>
          <w:szCs w:val="24"/>
        </w:rPr>
        <w:t>EXECUTIVE PROFILE</w:t>
      </w:r>
    </w:p>
    <w:p w14:paraId="3EB780C2" w14:textId="18BFBA86" w:rsidR="00B23586" w:rsidRPr="00A56D84" w:rsidRDefault="00000000">
      <w:pPr>
        <w:spacing w:after="40" w:line="250" w:lineRule="auto"/>
        <w:rPr>
          <w:rFonts w:asciiTheme="majorHAnsi" w:hAnsiTheme="majorHAnsi" w:cstheme="majorHAnsi"/>
          <w:sz w:val="24"/>
          <w:szCs w:val="24"/>
        </w:rPr>
      </w:pPr>
      <w:r w:rsidRPr="00A56D84">
        <w:rPr>
          <w:rFonts w:asciiTheme="majorHAnsi" w:hAnsiTheme="majorHAnsi" w:cstheme="majorHAnsi"/>
          <w:color w:val="232323"/>
          <w:sz w:val="24"/>
          <w:szCs w:val="24"/>
        </w:rPr>
        <w:t>AI transformation and business technology executive with 14 years of experience working at the intersection of business strategy, enterprise technology, data and AI innovation. Currently Vice President &amp; Head of AI Transformation at HDL - AGL (Hakuhodo), leading enterprise AI strategy and partnering with CXOs and business leaders to translate business challenges into scalable GenAI, Agentic AI, ML, analytics and automation solutions. Experienced across the full transformation lifecycle - discovery, use-case prioritisation, business case and ROI, architecture, pilot, production deployment, adoption and governance - while retaining deep hands-on technical credibility.</w:t>
      </w:r>
    </w:p>
    <w:p w14:paraId="20D374B6" w14:textId="77777777" w:rsidR="00B23586" w:rsidRPr="00A56D84" w:rsidRDefault="00000000">
      <w:pPr>
        <w:keepNext/>
        <w:pBdr>
          <w:bottom w:val="single" w:sz="8" w:space="1" w:color="B7C9D6"/>
        </w:pBdr>
        <w:spacing w:before="100" w:after="50"/>
        <w:rPr>
          <w:rFonts w:asciiTheme="majorHAnsi" w:hAnsiTheme="majorHAnsi" w:cstheme="majorHAnsi"/>
          <w:sz w:val="24"/>
          <w:szCs w:val="24"/>
        </w:rPr>
      </w:pPr>
      <w:r w:rsidRPr="00A56D84">
        <w:rPr>
          <w:rFonts w:asciiTheme="majorHAnsi" w:hAnsiTheme="majorHAnsi" w:cstheme="majorHAnsi"/>
          <w:b/>
          <w:color w:val="1F3750"/>
          <w:sz w:val="24"/>
          <w:szCs w:val="24"/>
        </w:rPr>
        <w:t>LEADERSHIP &amp; ROLE FIT</w:t>
      </w:r>
    </w:p>
    <w:p w14:paraId="6B31229C"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CXO advisory &amp; business discovery: </w:t>
      </w:r>
      <w:r w:rsidRPr="00A56D84">
        <w:rPr>
          <w:rFonts w:asciiTheme="majorHAnsi" w:hAnsiTheme="majorHAnsi" w:cstheme="majorHAnsi"/>
          <w:color w:val="232323"/>
          <w:sz w:val="24"/>
          <w:szCs w:val="24"/>
        </w:rPr>
        <w:t>Directly engage senior business and technology leaders to understand operating-model, customer, growth, finance and control challenges; shape AI roadmaps and practical build-vs-buy decisions around measurable business outcomes.</w:t>
      </w:r>
    </w:p>
    <w:p w14:paraId="5709B93A"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Enterprise client exposure: </w:t>
      </w:r>
      <w:r w:rsidRPr="00A56D84">
        <w:rPr>
          <w:rFonts w:asciiTheme="majorHAnsi" w:hAnsiTheme="majorHAnsi" w:cstheme="majorHAnsi"/>
          <w:color w:val="232323"/>
          <w:sz w:val="24"/>
          <w:szCs w:val="24"/>
        </w:rPr>
        <w:t>Selected engagements across Nestlé, Coca-Cola, Tata Consumer, Perfetti Van Melle, HELL ENERGY, Reckitt, Idemitsu, Mitsubishi, MSIL/NEXA and other regional/global businesses.</w:t>
      </w:r>
    </w:p>
    <w:p w14:paraId="2B13B7F8"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sz w:val="24"/>
          <w:szCs w:val="24"/>
        </w:rPr>
        <w:t xml:space="preserve">AI innovation portfolio: </w:t>
      </w:r>
      <w:r w:rsidRPr="00A56D84">
        <w:rPr>
          <w:rFonts w:asciiTheme="majorHAnsi" w:hAnsiTheme="majorHAnsi" w:cstheme="majorHAnsi"/>
          <w:sz w:val="24"/>
          <w:szCs w:val="24"/>
        </w:rPr>
        <w:t>Conceived and scaled AI products across synthetic consumer intelligence, AEO/GEO, agentic analytics, market-share prediction, stock / availability intelligence, automated reporting, e-commerce budget pacing, heatmap-led recommendations, FinOps, continuous control monitoring and audit/control intelligence.</w:t>
      </w:r>
    </w:p>
    <w:p w14:paraId="2E856D07"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Business + technology leadership: </w:t>
      </w:r>
      <w:r w:rsidRPr="00A56D84">
        <w:rPr>
          <w:rFonts w:asciiTheme="majorHAnsi" w:hAnsiTheme="majorHAnsi" w:cstheme="majorHAnsi"/>
          <w:color w:val="232323"/>
          <w:sz w:val="24"/>
          <w:szCs w:val="24"/>
        </w:rPr>
        <w:t>Lead a 100+ member technology organisation spanning engineers, data scientists and architects; bridge business, product, data and engineering teams from opportunity framing through production adoption.</w:t>
      </w:r>
    </w:p>
    <w:p w14:paraId="4FB46768"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Responsible AI &amp; governance: </w:t>
      </w:r>
      <w:r w:rsidRPr="00A56D84">
        <w:rPr>
          <w:rFonts w:asciiTheme="majorHAnsi" w:hAnsiTheme="majorHAnsi" w:cstheme="majorHAnsi"/>
          <w:color w:val="232323"/>
          <w:sz w:val="24"/>
          <w:szCs w:val="24"/>
        </w:rPr>
        <w:t>Apply human-in-the-loop controls, model evaluation, access boundaries, auditability, performance monitoring and cost governance to enterprise AI solutions.</w:t>
      </w:r>
    </w:p>
    <w:p w14:paraId="56EFCDA8"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Commercial &amp; ROI discipline: </w:t>
      </w:r>
      <w:r w:rsidRPr="00A56D84">
        <w:rPr>
          <w:rFonts w:asciiTheme="majorHAnsi" w:hAnsiTheme="majorHAnsi" w:cstheme="majorHAnsi"/>
          <w:color w:val="232323"/>
          <w:sz w:val="24"/>
          <w:szCs w:val="24"/>
        </w:rPr>
        <w:t>Own product economics, technology cost architecture, monetisation and value measurement so AI initiatives move beyond experimentation into sustainable enterprise capability.</w:t>
      </w:r>
    </w:p>
    <w:p w14:paraId="48B18DCF" w14:textId="77777777" w:rsidR="00B23586" w:rsidRPr="00A56D84" w:rsidRDefault="00000000">
      <w:pPr>
        <w:keepNext/>
        <w:pBdr>
          <w:bottom w:val="single" w:sz="8" w:space="1" w:color="B7C9D6"/>
        </w:pBdr>
        <w:spacing w:before="100" w:after="50"/>
        <w:rPr>
          <w:rFonts w:asciiTheme="majorHAnsi" w:hAnsiTheme="majorHAnsi" w:cstheme="majorHAnsi"/>
          <w:sz w:val="24"/>
          <w:szCs w:val="24"/>
        </w:rPr>
      </w:pPr>
      <w:r w:rsidRPr="00A56D84">
        <w:rPr>
          <w:rFonts w:asciiTheme="majorHAnsi" w:hAnsiTheme="majorHAnsi" w:cstheme="majorHAnsi"/>
          <w:b/>
          <w:color w:val="1F3750"/>
          <w:sz w:val="24"/>
          <w:szCs w:val="24"/>
        </w:rPr>
        <w:t>PROFESSIONAL EXPERIENCE</w:t>
      </w:r>
    </w:p>
    <w:tbl>
      <w:tblPr>
        <w:tblW w:w="0" w:type="auto"/>
        <w:tblLayout w:type="fixed"/>
        <w:tblLook w:val="04A0" w:firstRow="1" w:lastRow="0" w:firstColumn="1" w:lastColumn="0" w:noHBand="0" w:noVBand="1"/>
      </w:tblPr>
      <w:tblGrid>
        <w:gridCol w:w="8280"/>
        <w:gridCol w:w="1944"/>
      </w:tblGrid>
      <w:tr w:rsidR="00B23586" w:rsidRPr="00A56D84" w14:paraId="2BCA38AC" w14:textId="77777777">
        <w:tc>
          <w:tcPr>
            <w:tcW w:w="8280" w:type="dxa"/>
            <w:tcMar>
              <w:top w:w="0" w:type="dxa"/>
              <w:left w:w="0" w:type="dxa"/>
              <w:bottom w:w="0" w:type="dxa"/>
              <w:right w:w="0" w:type="dxa"/>
            </w:tcMar>
          </w:tcPr>
          <w:p w14:paraId="5E9A07A1" w14:textId="77777777" w:rsidR="00B23586" w:rsidRPr="00A56D84" w:rsidRDefault="00000000">
            <w:pPr>
              <w:spacing w:after="0"/>
              <w:rPr>
                <w:rFonts w:asciiTheme="majorHAnsi" w:hAnsiTheme="majorHAnsi" w:cstheme="majorHAnsi"/>
                <w:sz w:val="24"/>
                <w:szCs w:val="24"/>
              </w:rPr>
            </w:pPr>
            <w:r w:rsidRPr="00A56D84">
              <w:rPr>
                <w:rFonts w:asciiTheme="majorHAnsi" w:hAnsiTheme="majorHAnsi" w:cstheme="majorHAnsi"/>
                <w:b/>
                <w:color w:val="141414"/>
                <w:sz w:val="24"/>
                <w:szCs w:val="24"/>
              </w:rPr>
              <w:t>Vice President &amp; Head of AI Transformation</w:t>
            </w:r>
            <w:r w:rsidRPr="00A56D84">
              <w:rPr>
                <w:rFonts w:asciiTheme="majorHAnsi" w:hAnsiTheme="majorHAnsi" w:cstheme="majorHAnsi"/>
                <w:color w:val="414141"/>
                <w:sz w:val="24"/>
                <w:szCs w:val="24"/>
              </w:rPr>
              <w:t xml:space="preserve"> | HDL - AGL (Hakuhodo) • Gurugram</w:t>
            </w:r>
          </w:p>
        </w:tc>
        <w:tc>
          <w:tcPr>
            <w:tcW w:w="1944" w:type="dxa"/>
            <w:tcMar>
              <w:top w:w="0" w:type="dxa"/>
              <w:left w:w="0" w:type="dxa"/>
              <w:bottom w:w="0" w:type="dxa"/>
              <w:right w:w="0" w:type="dxa"/>
            </w:tcMar>
          </w:tcPr>
          <w:p w14:paraId="562385A0" w14:textId="77777777" w:rsidR="00B23586" w:rsidRPr="00A56D84" w:rsidRDefault="00000000">
            <w:pPr>
              <w:spacing w:after="0"/>
              <w:jc w:val="right"/>
              <w:rPr>
                <w:rFonts w:asciiTheme="majorHAnsi" w:hAnsiTheme="majorHAnsi" w:cstheme="majorHAnsi"/>
                <w:sz w:val="24"/>
                <w:szCs w:val="24"/>
              </w:rPr>
            </w:pPr>
            <w:r w:rsidRPr="00A56D84">
              <w:rPr>
                <w:rFonts w:asciiTheme="majorHAnsi" w:hAnsiTheme="majorHAnsi" w:cstheme="majorHAnsi"/>
                <w:b/>
                <w:color w:val="414141"/>
                <w:sz w:val="24"/>
                <w:szCs w:val="24"/>
              </w:rPr>
              <w:t>Apr 2026 - Present</w:t>
            </w:r>
          </w:p>
        </w:tc>
      </w:tr>
      <w:tr w:rsidR="00E061C6" w:rsidRPr="00A56D84" w14:paraId="2212F89E" w14:textId="77777777">
        <w:tc>
          <w:tcPr>
            <w:tcW w:w="8280" w:type="dxa"/>
            <w:tcMar>
              <w:top w:w="0" w:type="dxa"/>
              <w:left w:w="0" w:type="dxa"/>
              <w:bottom w:w="0" w:type="dxa"/>
              <w:right w:w="0" w:type="dxa"/>
            </w:tcMar>
          </w:tcPr>
          <w:p w14:paraId="35CB9F05" w14:textId="77777777" w:rsidR="00E061C6" w:rsidRPr="00A56D84" w:rsidRDefault="00E061C6">
            <w:pPr>
              <w:spacing w:after="0"/>
              <w:rPr>
                <w:rFonts w:asciiTheme="majorHAnsi" w:hAnsiTheme="majorHAnsi" w:cstheme="majorHAnsi"/>
                <w:b/>
                <w:color w:val="141414"/>
                <w:sz w:val="24"/>
                <w:szCs w:val="24"/>
              </w:rPr>
            </w:pPr>
          </w:p>
        </w:tc>
        <w:tc>
          <w:tcPr>
            <w:tcW w:w="1944" w:type="dxa"/>
            <w:tcMar>
              <w:top w:w="0" w:type="dxa"/>
              <w:left w:w="0" w:type="dxa"/>
              <w:bottom w:w="0" w:type="dxa"/>
              <w:right w:w="0" w:type="dxa"/>
            </w:tcMar>
          </w:tcPr>
          <w:p w14:paraId="5FA0420E" w14:textId="77777777" w:rsidR="00E061C6" w:rsidRPr="00A56D84" w:rsidRDefault="00E061C6">
            <w:pPr>
              <w:spacing w:after="0"/>
              <w:jc w:val="right"/>
              <w:rPr>
                <w:rFonts w:asciiTheme="majorHAnsi" w:hAnsiTheme="majorHAnsi" w:cstheme="majorHAnsi"/>
                <w:b/>
                <w:color w:val="414141"/>
                <w:sz w:val="24"/>
                <w:szCs w:val="24"/>
              </w:rPr>
            </w:pPr>
          </w:p>
        </w:tc>
      </w:tr>
    </w:tbl>
    <w:p w14:paraId="07ECE765"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Enterprise AI strategy &amp; portfolio leadership: </w:t>
      </w:r>
      <w:r w:rsidRPr="00A56D84">
        <w:rPr>
          <w:rFonts w:asciiTheme="majorHAnsi" w:hAnsiTheme="majorHAnsi" w:cstheme="majorHAnsi"/>
          <w:color w:val="232323"/>
          <w:sz w:val="24"/>
          <w:szCs w:val="24"/>
        </w:rPr>
        <w:t>Own the enterprise AI transformation agenda across strategic client and internal business contexts; define AI roadmaps, prioritise use cases by business value and feasibility, and guide initiatives from executive sponsorship through scaled adoption.</w:t>
      </w:r>
    </w:p>
    <w:p w14:paraId="2675B70E"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CXO advisory &amp; business transformation: </w:t>
      </w:r>
      <w:r w:rsidRPr="00A56D84">
        <w:rPr>
          <w:rFonts w:asciiTheme="majorHAnsi" w:hAnsiTheme="majorHAnsi" w:cstheme="majorHAnsi"/>
          <w:color w:val="232323"/>
          <w:sz w:val="24"/>
          <w:szCs w:val="24"/>
        </w:rPr>
        <w:t>Partner directly with CEOs, CXOs and functional leaders to understand operating models, customer journeys and performance gaps, and translate them into practical GenAI, Agentic AI, ML, analytics and automation interventions.</w:t>
      </w:r>
    </w:p>
    <w:p w14:paraId="0CFC51C1"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AI operating model &amp; organisation leadership: </w:t>
      </w:r>
      <w:r w:rsidRPr="00A56D84">
        <w:rPr>
          <w:rFonts w:asciiTheme="majorHAnsi" w:hAnsiTheme="majorHAnsi" w:cstheme="majorHAnsi"/>
          <w:color w:val="232323"/>
          <w:sz w:val="24"/>
          <w:szCs w:val="24"/>
        </w:rPr>
        <w:t>Lead a 100+ member technology organisation spanning engineering, data science and architecture; align business, product, data and engineering teams around reusable platforms, governance and delivery standards.</w:t>
      </w:r>
    </w:p>
    <w:p w14:paraId="46D91F65" w14:textId="77777777" w:rsidR="00B23586" w:rsidRDefault="00000000">
      <w:pPr>
        <w:pStyle w:val="CompactBullet"/>
        <w:rPr>
          <w:rFonts w:asciiTheme="majorHAnsi" w:hAnsiTheme="majorHAnsi" w:cstheme="majorHAnsi"/>
          <w:color w:val="232323"/>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Governance, adoption &amp; ROI: </w:t>
      </w:r>
      <w:r w:rsidRPr="00A56D84">
        <w:rPr>
          <w:rFonts w:asciiTheme="majorHAnsi" w:hAnsiTheme="majorHAnsi" w:cstheme="majorHAnsi"/>
          <w:color w:val="232323"/>
          <w:sz w:val="24"/>
          <w:szCs w:val="24"/>
        </w:rPr>
        <w:t>Establish human-in-the-loop controls, model evaluation, access and auditability patterns, cost governance and outcome measurement while driving stakeholder adoption, AI literacy and sustainable business value.</w:t>
      </w:r>
    </w:p>
    <w:p w14:paraId="026206A5" w14:textId="77777777" w:rsidR="00A56D84" w:rsidRDefault="00A56D84">
      <w:pPr>
        <w:pStyle w:val="CompactBullet"/>
        <w:rPr>
          <w:rFonts w:asciiTheme="majorHAnsi" w:hAnsiTheme="majorHAnsi" w:cstheme="majorHAnsi"/>
          <w:color w:val="232323"/>
          <w:sz w:val="24"/>
          <w:szCs w:val="24"/>
        </w:rPr>
      </w:pPr>
    </w:p>
    <w:p w14:paraId="3B00A3CD" w14:textId="77777777" w:rsidR="00A56D84" w:rsidRPr="00A56D84" w:rsidRDefault="00A56D84">
      <w:pPr>
        <w:pStyle w:val="CompactBullet"/>
        <w:rPr>
          <w:rFonts w:asciiTheme="majorHAnsi" w:hAnsiTheme="majorHAnsi" w:cstheme="majorHAnsi"/>
          <w:sz w:val="24"/>
          <w:szCs w:val="24"/>
        </w:rPr>
      </w:pPr>
    </w:p>
    <w:tbl>
      <w:tblPr>
        <w:tblW w:w="0" w:type="auto"/>
        <w:tblLayout w:type="fixed"/>
        <w:tblLook w:val="04A0" w:firstRow="1" w:lastRow="0" w:firstColumn="1" w:lastColumn="0" w:noHBand="0" w:noVBand="1"/>
      </w:tblPr>
      <w:tblGrid>
        <w:gridCol w:w="8280"/>
        <w:gridCol w:w="1944"/>
      </w:tblGrid>
      <w:tr w:rsidR="00B23586" w:rsidRPr="00A56D84" w14:paraId="7A881571" w14:textId="77777777">
        <w:tc>
          <w:tcPr>
            <w:tcW w:w="8280" w:type="dxa"/>
            <w:tcMar>
              <w:top w:w="0" w:type="dxa"/>
              <w:left w:w="0" w:type="dxa"/>
              <w:bottom w:w="0" w:type="dxa"/>
              <w:right w:w="0" w:type="dxa"/>
            </w:tcMar>
          </w:tcPr>
          <w:p w14:paraId="12964E12" w14:textId="77777777" w:rsidR="00B23586" w:rsidRPr="00A56D84" w:rsidRDefault="00000000">
            <w:pPr>
              <w:spacing w:after="0"/>
              <w:rPr>
                <w:rFonts w:asciiTheme="majorHAnsi" w:hAnsiTheme="majorHAnsi" w:cstheme="majorHAnsi"/>
                <w:sz w:val="24"/>
                <w:szCs w:val="24"/>
              </w:rPr>
            </w:pPr>
            <w:r w:rsidRPr="00A56D84">
              <w:rPr>
                <w:rFonts w:asciiTheme="majorHAnsi" w:hAnsiTheme="majorHAnsi" w:cstheme="majorHAnsi"/>
                <w:b/>
                <w:color w:val="141414"/>
                <w:sz w:val="24"/>
                <w:szCs w:val="24"/>
              </w:rPr>
              <w:t>AI Transformation &amp; Business Solutions Lead</w:t>
            </w:r>
            <w:r w:rsidRPr="00A56D84">
              <w:rPr>
                <w:rFonts w:asciiTheme="majorHAnsi" w:hAnsiTheme="majorHAnsi" w:cstheme="majorHAnsi"/>
                <w:color w:val="414141"/>
                <w:sz w:val="24"/>
                <w:szCs w:val="24"/>
              </w:rPr>
              <w:t xml:space="preserve"> | HDL - AGL (Hakuhodo) • Gurugram</w:t>
            </w:r>
          </w:p>
        </w:tc>
        <w:tc>
          <w:tcPr>
            <w:tcW w:w="1944" w:type="dxa"/>
            <w:tcMar>
              <w:top w:w="0" w:type="dxa"/>
              <w:left w:w="0" w:type="dxa"/>
              <w:bottom w:w="0" w:type="dxa"/>
              <w:right w:w="0" w:type="dxa"/>
            </w:tcMar>
          </w:tcPr>
          <w:p w14:paraId="2B3DBCFE" w14:textId="77777777" w:rsidR="00B23586" w:rsidRPr="00A56D84" w:rsidRDefault="00000000">
            <w:pPr>
              <w:spacing w:after="0"/>
              <w:jc w:val="right"/>
              <w:rPr>
                <w:rFonts w:asciiTheme="majorHAnsi" w:hAnsiTheme="majorHAnsi" w:cstheme="majorHAnsi"/>
                <w:sz w:val="24"/>
                <w:szCs w:val="24"/>
              </w:rPr>
            </w:pPr>
            <w:r w:rsidRPr="00A56D84">
              <w:rPr>
                <w:rFonts w:asciiTheme="majorHAnsi" w:hAnsiTheme="majorHAnsi" w:cstheme="majorHAnsi"/>
                <w:b/>
                <w:color w:val="414141"/>
                <w:sz w:val="24"/>
                <w:szCs w:val="24"/>
              </w:rPr>
              <w:t>2024 - Mar 2026</w:t>
            </w:r>
          </w:p>
        </w:tc>
      </w:tr>
      <w:tr w:rsidR="00E061C6" w:rsidRPr="00A56D84" w14:paraId="4E722294" w14:textId="77777777">
        <w:tc>
          <w:tcPr>
            <w:tcW w:w="8280" w:type="dxa"/>
            <w:tcMar>
              <w:top w:w="0" w:type="dxa"/>
              <w:left w:w="0" w:type="dxa"/>
              <w:bottom w:w="0" w:type="dxa"/>
              <w:right w:w="0" w:type="dxa"/>
            </w:tcMar>
          </w:tcPr>
          <w:p w14:paraId="451AB0BB" w14:textId="77777777" w:rsidR="00E061C6" w:rsidRPr="00A56D84" w:rsidRDefault="00E061C6">
            <w:pPr>
              <w:spacing w:after="0"/>
              <w:rPr>
                <w:rFonts w:asciiTheme="majorHAnsi" w:hAnsiTheme="majorHAnsi" w:cstheme="majorHAnsi"/>
                <w:b/>
                <w:color w:val="141414"/>
                <w:sz w:val="24"/>
                <w:szCs w:val="24"/>
              </w:rPr>
            </w:pPr>
          </w:p>
        </w:tc>
        <w:tc>
          <w:tcPr>
            <w:tcW w:w="1944" w:type="dxa"/>
            <w:tcMar>
              <w:top w:w="0" w:type="dxa"/>
              <w:left w:w="0" w:type="dxa"/>
              <w:bottom w:w="0" w:type="dxa"/>
              <w:right w:w="0" w:type="dxa"/>
            </w:tcMar>
          </w:tcPr>
          <w:p w14:paraId="2BFAC55C" w14:textId="77777777" w:rsidR="00E061C6" w:rsidRPr="00A56D84" w:rsidRDefault="00E061C6">
            <w:pPr>
              <w:spacing w:after="0"/>
              <w:jc w:val="right"/>
              <w:rPr>
                <w:rFonts w:asciiTheme="majorHAnsi" w:hAnsiTheme="majorHAnsi" w:cstheme="majorHAnsi"/>
                <w:b/>
                <w:color w:val="414141"/>
                <w:sz w:val="24"/>
                <w:szCs w:val="24"/>
              </w:rPr>
            </w:pPr>
          </w:p>
        </w:tc>
      </w:tr>
    </w:tbl>
    <w:p w14:paraId="51AB8098"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sz w:val="24"/>
          <w:szCs w:val="24"/>
        </w:rPr>
        <w:t xml:space="preserve">CXO discovery, advisory &amp; solution conversion: </w:t>
      </w:r>
      <w:r w:rsidRPr="00A56D84">
        <w:rPr>
          <w:rFonts w:asciiTheme="majorHAnsi" w:hAnsiTheme="majorHAnsi" w:cstheme="majorHAnsi"/>
          <w:sz w:val="24"/>
          <w:szCs w:val="24"/>
        </w:rPr>
        <w:t>Led business-first discovery with CXOs and functional leaders across Nestlé, Coca-Cola, Tata Consumer, Perfetti Van Melle, HELL ENERGY, Reckitt, Idemitsu, Mitsubishi and MSIL/NEXA; converted process, growth and efficiency gaps into prioritised AI use cases, solution blueprints, business cases and execution roadmaps.</w:t>
      </w:r>
    </w:p>
    <w:p w14:paraId="3B711A51"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sz w:val="24"/>
          <w:szCs w:val="24"/>
        </w:rPr>
        <w:t xml:space="preserve">Reckitt - market-share prediction &amp; commerce intelligence: </w:t>
      </w:r>
      <w:r w:rsidRPr="00A56D84">
        <w:rPr>
          <w:rFonts w:asciiTheme="majorHAnsi" w:hAnsiTheme="majorHAnsi" w:cstheme="majorHAnsi"/>
          <w:sz w:val="24"/>
          <w:szCs w:val="24"/>
        </w:rPr>
        <w:t>Framed the business need around forward-looking market visibility and led the predictive-analytics solutioning for market-share movement using sales, offtake and commerce signals; surfaced likely drivers and decision inputs to support earlier commercial intervention.</w:t>
      </w:r>
    </w:p>
    <w:p w14:paraId="7D0B59C2"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sz w:val="24"/>
          <w:szCs w:val="24"/>
        </w:rPr>
        <w:t xml:space="preserve">Inventory &amp; availability intelligence: </w:t>
      </w:r>
      <w:r w:rsidRPr="00A56D84">
        <w:rPr>
          <w:rFonts w:asciiTheme="majorHAnsi" w:hAnsiTheme="majorHAnsi" w:cstheme="majorHAnsi"/>
          <w:sz w:val="24"/>
          <w:szCs w:val="24"/>
        </w:rPr>
        <w:t>Addressed stock-availability gaps by bringing stock fill rate, daily run rate (DRR) and stock-in-hand into a unified decision layer with stock-out / replenishment signals, enabling teams to identify availability risks earlier and act on priority SKUs and channels.</w:t>
      </w:r>
    </w:p>
    <w:p w14:paraId="377F5A7E"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sz w:val="24"/>
          <w:szCs w:val="24"/>
        </w:rPr>
        <w:t xml:space="preserve">Automated reporting &amp; management decision intelligence: </w:t>
      </w:r>
      <w:r w:rsidRPr="00A56D84">
        <w:rPr>
          <w:rFonts w:asciiTheme="majorHAnsi" w:hAnsiTheme="majorHAnsi" w:cstheme="majorHAnsi"/>
          <w:sz w:val="24"/>
          <w:szCs w:val="24"/>
        </w:rPr>
        <w:t>Converted recurring manual business reporting into automated data pipelines, dashboards and insight summaries, reducing dependence on spreadsheet-led consolidation and giving leadership a faster, more consistent operating view.</w:t>
      </w:r>
    </w:p>
    <w:p w14:paraId="2BBF66B8"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sz w:val="24"/>
          <w:szCs w:val="24"/>
        </w:rPr>
        <w:t xml:space="preserve">E-commerce campaign budget pacer: </w:t>
      </w:r>
      <w:r w:rsidRPr="00A56D84">
        <w:rPr>
          <w:rFonts w:asciiTheme="majorHAnsi" w:hAnsiTheme="majorHAnsi" w:cstheme="majorHAnsi"/>
          <w:sz w:val="24"/>
          <w:szCs w:val="24"/>
        </w:rPr>
        <w:t>Designed a planned-vs-actual media pacing and recommendation capability for e-commerce campaigns, flagging underspend / overspend and performance variance and guiding budget reallocation toward better-performing campaigns, channels and time windows.</w:t>
      </w:r>
    </w:p>
    <w:p w14:paraId="68D47D9A"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sz w:val="24"/>
          <w:szCs w:val="24"/>
        </w:rPr>
        <w:t xml:space="preserve">Heatmap-led recommendation &amp; optimisation: </w:t>
      </w:r>
      <w:r w:rsidRPr="00A56D84">
        <w:rPr>
          <w:rFonts w:asciiTheme="majorHAnsi" w:hAnsiTheme="majorHAnsi" w:cstheme="majorHAnsi"/>
          <w:sz w:val="24"/>
          <w:szCs w:val="24"/>
        </w:rPr>
        <w:t>Designed recommendation logic using heatmaps and commerce / behavioural signals to identify performance hotspots, gaps and next-best actions for assortment, campaign and content optimisation, translating visual patterns into business recommendations.</w:t>
      </w:r>
    </w:p>
    <w:p w14:paraId="3AE37834" w14:textId="77777777" w:rsidR="00B23586"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sz w:val="24"/>
          <w:szCs w:val="24"/>
        </w:rPr>
        <w:t xml:space="preserve">Business-to-technology execution: </w:t>
      </w:r>
      <w:r w:rsidRPr="00A56D84">
        <w:rPr>
          <w:rFonts w:asciiTheme="majorHAnsi" w:hAnsiTheme="majorHAnsi" w:cstheme="majorHAnsi"/>
          <w:sz w:val="24"/>
          <w:szCs w:val="24"/>
        </w:rPr>
        <w:t>Acted as the bridge from executive problem statement to delivery - defining data requirements, success metrics, build-vs-buy choices, architecture, pilot scope, governance and scaling path so AI initiatives moved from discussion to production adoption.</w:t>
      </w:r>
    </w:p>
    <w:p w14:paraId="62286E48" w14:textId="77777777" w:rsidR="00E061C6" w:rsidRPr="00A56D84" w:rsidRDefault="00E061C6">
      <w:pPr>
        <w:pStyle w:val="CompactBullet"/>
        <w:rPr>
          <w:rFonts w:asciiTheme="majorHAnsi" w:hAnsiTheme="majorHAnsi" w:cstheme="majorHAnsi"/>
          <w:sz w:val="24"/>
          <w:szCs w:val="24"/>
        </w:rPr>
      </w:pPr>
    </w:p>
    <w:tbl>
      <w:tblPr>
        <w:tblW w:w="0" w:type="auto"/>
        <w:tblLayout w:type="fixed"/>
        <w:tblLook w:val="04A0" w:firstRow="1" w:lastRow="0" w:firstColumn="1" w:lastColumn="0" w:noHBand="0" w:noVBand="1"/>
      </w:tblPr>
      <w:tblGrid>
        <w:gridCol w:w="8280"/>
        <w:gridCol w:w="1944"/>
      </w:tblGrid>
      <w:tr w:rsidR="00B23586" w:rsidRPr="00A56D84" w14:paraId="4B09AFF6" w14:textId="77777777">
        <w:tc>
          <w:tcPr>
            <w:tcW w:w="8280" w:type="dxa"/>
            <w:tcMar>
              <w:top w:w="0" w:type="dxa"/>
              <w:left w:w="0" w:type="dxa"/>
              <w:bottom w:w="0" w:type="dxa"/>
              <w:right w:w="0" w:type="dxa"/>
            </w:tcMar>
          </w:tcPr>
          <w:p w14:paraId="43873503" w14:textId="77777777" w:rsidR="00B23586" w:rsidRPr="00A56D84" w:rsidRDefault="00000000">
            <w:pPr>
              <w:spacing w:after="0"/>
              <w:rPr>
                <w:rFonts w:asciiTheme="majorHAnsi" w:hAnsiTheme="majorHAnsi" w:cstheme="majorHAnsi"/>
                <w:sz w:val="24"/>
                <w:szCs w:val="24"/>
              </w:rPr>
            </w:pPr>
            <w:r w:rsidRPr="00A56D84">
              <w:rPr>
                <w:rFonts w:asciiTheme="majorHAnsi" w:hAnsiTheme="majorHAnsi" w:cstheme="majorHAnsi"/>
                <w:b/>
                <w:color w:val="141414"/>
                <w:sz w:val="24"/>
                <w:szCs w:val="24"/>
              </w:rPr>
              <w:t>Solution Architect</w:t>
            </w:r>
            <w:r w:rsidRPr="00A56D84">
              <w:rPr>
                <w:rFonts w:asciiTheme="majorHAnsi" w:hAnsiTheme="majorHAnsi" w:cstheme="majorHAnsi"/>
                <w:color w:val="414141"/>
                <w:sz w:val="24"/>
                <w:szCs w:val="24"/>
              </w:rPr>
              <w:t xml:space="preserve"> | Adglobal360 Pvt. Ltd. (Hakuhodo Group) • Gurugram, India</w:t>
            </w:r>
          </w:p>
        </w:tc>
        <w:tc>
          <w:tcPr>
            <w:tcW w:w="1944" w:type="dxa"/>
            <w:tcMar>
              <w:top w:w="0" w:type="dxa"/>
              <w:left w:w="0" w:type="dxa"/>
              <w:bottom w:w="0" w:type="dxa"/>
              <w:right w:w="0" w:type="dxa"/>
            </w:tcMar>
          </w:tcPr>
          <w:p w14:paraId="350990ED" w14:textId="77777777" w:rsidR="00B23586" w:rsidRPr="00A56D84" w:rsidRDefault="00000000">
            <w:pPr>
              <w:spacing w:after="0"/>
              <w:jc w:val="right"/>
              <w:rPr>
                <w:rFonts w:asciiTheme="majorHAnsi" w:hAnsiTheme="majorHAnsi" w:cstheme="majorHAnsi"/>
                <w:sz w:val="24"/>
                <w:szCs w:val="24"/>
              </w:rPr>
            </w:pPr>
            <w:r w:rsidRPr="00A56D84">
              <w:rPr>
                <w:rFonts w:asciiTheme="majorHAnsi" w:hAnsiTheme="majorHAnsi" w:cstheme="majorHAnsi"/>
                <w:b/>
                <w:color w:val="414141"/>
                <w:sz w:val="24"/>
                <w:szCs w:val="24"/>
              </w:rPr>
              <w:t>2018 - 2024</w:t>
            </w:r>
          </w:p>
        </w:tc>
      </w:tr>
      <w:tr w:rsidR="00E061C6" w:rsidRPr="00A56D84" w14:paraId="317BBA0D" w14:textId="77777777">
        <w:tc>
          <w:tcPr>
            <w:tcW w:w="8280" w:type="dxa"/>
            <w:tcMar>
              <w:top w:w="0" w:type="dxa"/>
              <w:left w:w="0" w:type="dxa"/>
              <w:bottom w:w="0" w:type="dxa"/>
              <w:right w:w="0" w:type="dxa"/>
            </w:tcMar>
          </w:tcPr>
          <w:p w14:paraId="25BBDD1D" w14:textId="77777777" w:rsidR="00E061C6" w:rsidRPr="00A56D84" w:rsidRDefault="00E061C6">
            <w:pPr>
              <w:spacing w:after="0"/>
              <w:rPr>
                <w:rFonts w:asciiTheme="majorHAnsi" w:hAnsiTheme="majorHAnsi" w:cstheme="majorHAnsi"/>
                <w:b/>
                <w:color w:val="141414"/>
                <w:sz w:val="24"/>
                <w:szCs w:val="24"/>
              </w:rPr>
            </w:pPr>
          </w:p>
        </w:tc>
        <w:tc>
          <w:tcPr>
            <w:tcW w:w="1944" w:type="dxa"/>
            <w:tcMar>
              <w:top w:w="0" w:type="dxa"/>
              <w:left w:w="0" w:type="dxa"/>
              <w:bottom w:w="0" w:type="dxa"/>
              <w:right w:w="0" w:type="dxa"/>
            </w:tcMar>
          </w:tcPr>
          <w:p w14:paraId="331E6E56" w14:textId="77777777" w:rsidR="00E061C6" w:rsidRPr="00A56D84" w:rsidRDefault="00E061C6">
            <w:pPr>
              <w:spacing w:after="0"/>
              <w:jc w:val="right"/>
              <w:rPr>
                <w:rFonts w:asciiTheme="majorHAnsi" w:hAnsiTheme="majorHAnsi" w:cstheme="majorHAnsi"/>
                <w:b/>
                <w:color w:val="414141"/>
                <w:sz w:val="24"/>
                <w:szCs w:val="24"/>
              </w:rPr>
            </w:pPr>
          </w:p>
        </w:tc>
      </w:tr>
    </w:tbl>
    <w:p w14:paraId="4DB03E5E"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MSIL/NEXA digital ecosystem: </w:t>
      </w:r>
      <w:r w:rsidRPr="00A56D84">
        <w:rPr>
          <w:rFonts w:asciiTheme="majorHAnsi" w:hAnsiTheme="majorHAnsi" w:cstheme="majorHAnsi"/>
          <w:color w:val="232323"/>
          <w:sz w:val="24"/>
          <w:szCs w:val="24"/>
        </w:rPr>
        <w:t>Owned solution architecture across Maruti Suzuki Arena, Nexa, service platforms/apps, accessories commerce, genuine parts, True Value and 3D/AR configurator - combining customer journey, retail, dealer and enterprise-system integration at national scale.</w:t>
      </w:r>
    </w:p>
    <w:p w14:paraId="7D55795B"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Hyperlocal retail scale: </w:t>
      </w:r>
      <w:r w:rsidRPr="00A56D84">
        <w:rPr>
          <w:rFonts w:asciiTheme="majorHAnsi" w:hAnsiTheme="majorHAnsi" w:cstheme="majorHAnsi"/>
          <w:color w:val="232323"/>
          <w:sz w:val="24"/>
          <w:szCs w:val="24"/>
        </w:rPr>
        <w:t>Built and scaled a multi-tenant dealer platform to 3,600+ Arena and Nexa websites, owning architecture, performance and nationwide rollout.</w:t>
      </w:r>
    </w:p>
    <w:p w14:paraId="531D96C3" w14:textId="77777777" w:rsidR="00B23586" w:rsidRPr="00A56D84" w:rsidRDefault="00000000">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Digital launches &amp; commerce: </w:t>
      </w:r>
      <w:r w:rsidRPr="00A56D84">
        <w:rPr>
          <w:rFonts w:asciiTheme="majorHAnsi" w:hAnsiTheme="majorHAnsi" w:cstheme="majorHAnsi"/>
          <w:color w:val="232323"/>
          <w:sz w:val="24"/>
          <w:szCs w:val="24"/>
        </w:rPr>
        <w:t>Architected 5+ digital vehicle launches and 20+ B2B/B2C commerce platforms with payments, SAP/ERP, banking and government-API integrations; supported high-volume customer and transaction journeys.</w:t>
      </w:r>
    </w:p>
    <w:p w14:paraId="312D96AD" w14:textId="0F03B190" w:rsidR="00B23586" w:rsidRDefault="00000000">
      <w:pPr>
        <w:pStyle w:val="CompactBullet"/>
        <w:rPr>
          <w:rFonts w:asciiTheme="majorHAnsi" w:hAnsiTheme="majorHAnsi" w:cstheme="majorHAnsi"/>
          <w:color w:val="232323"/>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b/>
          <w:color w:val="232323"/>
          <w:sz w:val="24"/>
          <w:szCs w:val="24"/>
        </w:rPr>
        <w:t xml:space="preserve">Data, FinOps &amp; AI foundation: </w:t>
      </w:r>
      <w:r w:rsidRPr="00A56D84">
        <w:rPr>
          <w:rFonts w:asciiTheme="majorHAnsi" w:hAnsiTheme="majorHAnsi" w:cstheme="majorHAnsi"/>
          <w:color w:val="232323"/>
          <w:sz w:val="24"/>
          <w:szCs w:val="24"/>
        </w:rPr>
        <w:t xml:space="preserve">Established cloud cost governance for mission-critical digital estates and initiated early ML/NLP programs including recommendation engines and intelligent automation, seeding the </w:t>
      </w:r>
      <w:r w:rsidR="00A97FC6" w:rsidRPr="00A56D84">
        <w:rPr>
          <w:rFonts w:asciiTheme="majorHAnsi" w:hAnsiTheme="majorHAnsi" w:cstheme="majorHAnsi"/>
          <w:color w:val="232323"/>
          <w:sz w:val="24"/>
          <w:szCs w:val="24"/>
        </w:rPr>
        <w:t>organization’s</w:t>
      </w:r>
      <w:r w:rsidRPr="00A56D84">
        <w:rPr>
          <w:rFonts w:asciiTheme="majorHAnsi" w:hAnsiTheme="majorHAnsi" w:cstheme="majorHAnsi"/>
          <w:color w:val="232323"/>
          <w:sz w:val="24"/>
          <w:szCs w:val="24"/>
        </w:rPr>
        <w:t xml:space="preserve"> later AI practice.</w:t>
      </w:r>
    </w:p>
    <w:p w14:paraId="186A2132" w14:textId="77777777" w:rsidR="00E061C6" w:rsidRDefault="00E061C6">
      <w:pPr>
        <w:pStyle w:val="CompactBullet"/>
        <w:rPr>
          <w:rFonts w:asciiTheme="majorHAnsi" w:hAnsiTheme="majorHAnsi" w:cstheme="majorHAnsi"/>
          <w:color w:val="232323"/>
          <w:sz w:val="24"/>
          <w:szCs w:val="24"/>
        </w:rPr>
      </w:pPr>
    </w:p>
    <w:p w14:paraId="18ED3329" w14:textId="77777777" w:rsidR="00E061C6" w:rsidRPr="00A56D84" w:rsidRDefault="00E061C6">
      <w:pPr>
        <w:pStyle w:val="CompactBullet"/>
        <w:rPr>
          <w:rFonts w:asciiTheme="majorHAnsi" w:hAnsiTheme="majorHAnsi" w:cstheme="majorHAnsi"/>
          <w:sz w:val="24"/>
          <w:szCs w:val="24"/>
        </w:rPr>
      </w:pPr>
    </w:p>
    <w:p w14:paraId="3CFA2A8A" w14:textId="77777777" w:rsidR="00B23586" w:rsidRPr="00A56D84" w:rsidRDefault="00000000">
      <w:pPr>
        <w:keepNext/>
        <w:pBdr>
          <w:bottom w:val="single" w:sz="8" w:space="1" w:color="B7C9D6"/>
        </w:pBdr>
        <w:spacing w:before="100" w:after="50"/>
        <w:rPr>
          <w:rFonts w:asciiTheme="majorHAnsi" w:hAnsiTheme="majorHAnsi" w:cstheme="majorHAnsi"/>
          <w:sz w:val="24"/>
          <w:szCs w:val="24"/>
        </w:rPr>
      </w:pPr>
      <w:r w:rsidRPr="00A56D84">
        <w:rPr>
          <w:rFonts w:asciiTheme="majorHAnsi" w:hAnsiTheme="majorHAnsi" w:cstheme="majorHAnsi"/>
          <w:b/>
          <w:color w:val="1F3750"/>
          <w:sz w:val="24"/>
          <w:szCs w:val="24"/>
        </w:rPr>
        <w:lastRenderedPageBreak/>
        <w:t>EARLIER CAREER</w:t>
      </w:r>
    </w:p>
    <w:tbl>
      <w:tblPr>
        <w:tblW w:w="0" w:type="auto"/>
        <w:tblLayout w:type="fixed"/>
        <w:tblLook w:val="04A0" w:firstRow="1" w:lastRow="0" w:firstColumn="1" w:lastColumn="0" w:noHBand="0" w:noVBand="1"/>
      </w:tblPr>
      <w:tblGrid>
        <w:gridCol w:w="8280"/>
        <w:gridCol w:w="1944"/>
      </w:tblGrid>
      <w:tr w:rsidR="00B23586" w:rsidRPr="00A56D84" w14:paraId="6AC0BC45" w14:textId="77777777">
        <w:tc>
          <w:tcPr>
            <w:tcW w:w="8280" w:type="dxa"/>
            <w:tcMar>
              <w:top w:w="0" w:type="dxa"/>
              <w:left w:w="0" w:type="dxa"/>
              <w:bottom w:w="0" w:type="dxa"/>
              <w:right w:w="0" w:type="dxa"/>
            </w:tcMar>
          </w:tcPr>
          <w:p w14:paraId="7EDB63A8" w14:textId="77777777" w:rsidR="00E061C6" w:rsidRDefault="00E061C6">
            <w:pPr>
              <w:spacing w:after="0"/>
              <w:rPr>
                <w:rFonts w:asciiTheme="majorHAnsi" w:hAnsiTheme="majorHAnsi" w:cstheme="majorHAnsi"/>
                <w:b/>
                <w:color w:val="141414"/>
                <w:sz w:val="24"/>
                <w:szCs w:val="24"/>
              </w:rPr>
            </w:pPr>
          </w:p>
          <w:p w14:paraId="643EB2BE" w14:textId="5ED079BE" w:rsidR="00B23586" w:rsidRPr="00A56D84" w:rsidRDefault="00000000">
            <w:pPr>
              <w:spacing w:after="0"/>
              <w:rPr>
                <w:rFonts w:asciiTheme="majorHAnsi" w:hAnsiTheme="majorHAnsi" w:cstheme="majorHAnsi"/>
                <w:sz w:val="24"/>
                <w:szCs w:val="24"/>
              </w:rPr>
            </w:pPr>
            <w:r w:rsidRPr="00A56D84">
              <w:rPr>
                <w:rFonts w:asciiTheme="majorHAnsi" w:hAnsiTheme="majorHAnsi" w:cstheme="majorHAnsi"/>
                <w:b/>
                <w:color w:val="141414"/>
                <w:sz w:val="24"/>
                <w:szCs w:val="24"/>
              </w:rPr>
              <w:t>Delivery Lead / Senior Engineer</w:t>
            </w:r>
            <w:r w:rsidRPr="00A56D84">
              <w:rPr>
                <w:rFonts w:asciiTheme="majorHAnsi" w:hAnsiTheme="majorHAnsi" w:cstheme="majorHAnsi"/>
                <w:color w:val="414141"/>
                <w:sz w:val="24"/>
                <w:szCs w:val="24"/>
              </w:rPr>
              <w:t xml:space="preserve"> | Adglobal360 Pvt. Ltd. • Gurugram, India</w:t>
            </w:r>
          </w:p>
        </w:tc>
        <w:tc>
          <w:tcPr>
            <w:tcW w:w="1944" w:type="dxa"/>
            <w:tcMar>
              <w:top w:w="0" w:type="dxa"/>
              <w:left w:w="0" w:type="dxa"/>
              <w:bottom w:w="0" w:type="dxa"/>
              <w:right w:w="0" w:type="dxa"/>
            </w:tcMar>
          </w:tcPr>
          <w:p w14:paraId="545C0F38" w14:textId="77777777" w:rsidR="00B23586" w:rsidRPr="00A56D84" w:rsidRDefault="00000000">
            <w:pPr>
              <w:spacing w:after="0"/>
              <w:jc w:val="right"/>
              <w:rPr>
                <w:rFonts w:asciiTheme="majorHAnsi" w:hAnsiTheme="majorHAnsi" w:cstheme="majorHAnsi"/>
                <w:sz w:val="24"/>
                <w:szCs w:val="24"/>
              </w:rPr>
            </w:pPr>
            <w:r w:rsidRPr="00A56D84">
              <w:rPr>
                <w:rFonts w:asciiTheme="majorHAnsi" w:hAnsiTheme="majorHAnsi" w:cstheme="majorHAnsi"/>
                <w:b/>
                <w:color w:val="414141"/>
                <w:sz w:val="24"/>
                <w:szCs w:val="24"/>
              </w:rPr>
              <w:t>2015 - 2018</w:t>
            </w:r>
          </w:p>
        </w:tc>
      </w:tr>
    </w:tbl>
    <w:p w14:paraId="7F03969A" w14:textId="77777777" w:rsidR="00B23586" w:rsidRDefault="00000000">
      <w:pPr>
        <w:pStyle w:val="CompactBullet"/>
        <w:rPr>
          <w:rFonts w:asciiTheme="majorHAnsi" w:hAnsiTheme="majorHAnsi" w:cstheme="majorHAnsi"/>
          <w:color w:val="232323"/>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color w:val="232323"/>
          <w:sz w:val="24"/>
          <w:szCs w:val="24"/>
        </w:rPr>
        <w:t>Led full-stack delivery teams of 20+ engineers across enterprise CMS, commerce and marketing-technology programs; established delivery, code-quality and client-engagement practices adopted across teams.</w:t>
      </w:r>
    </w:p>
    <w:p w14:paraId="12FC97E8" w14:textId="77777777" w:rsidR="00E061C6" w:rsidRPr="00A56D84" w:rsidRDefault="00E061C6">
      <w:pPr>
        <w:pStyle w:val="CompactBullet"/>
        <w:rPr>
          <w:rFonts w:asciiTheme="majorHAnsi" w:hAnsiTheme="majorHAnsi" w:cstheme="majorHAnsi"/>
          <w:sz w:val="24"/>
          <w:szCs w:val="24"/>
        </w:rPr>
      </w:pPr>
    </w:p>
    <w:tbl>
      <w:tblPr>
        <w:tblW w:w="0" w:type="auto"/>
        <w:tblLayout w:type="fixed"/>
        <w:tblLook w:val="04A0" w:firstRow="1" w:lastRow="0" w:firstColumn="1" w:lastColumn="0" w:noHBand="0" w:noVBand="1"/>
      </w:tblPr>
      <w:tblGrid>
        <w:gridCol w:w="8280"/>
        <w:gridCol w:w="1944"/>
      </w:tblGrid>
      <w:tr w:rsidR="00B23586" w:rsidRPr="00A56D84" w14:paraId="494E418D" w14:textId="77777777">
        <w:tc>
          <w:tcPr>
            <w:tcW w:w="8280" w:type="dxa"/>
            <w:tcMar>
              <w:top w:w="0" w:type="dxa"/>
              <w:left w:w="0" w:type="dxa"/>
              <w:bottom w:w="0" w:type="dxa"/>
              <w:right w:w="0" w:type="dxa"/>
            </w:tcMar>
          </w:tcPr>
          <w:p w14:paraId="47B59598" w14:textId="77777777" w:rsidR="00B23586" w:rsidRPr="00A56D84" w:rsidRDefault="00000000">
            <w:pPr>
              <w:spacing w:after="0"/>
              <w:rPr>
                <w:rFonts w:asciiTheme="majorHAnsi" w:hAnsiTheme="majorHAnsi" w:cstheme="majorHAnsi"/>
                <w:sz w:val="24"/>
                <w:szCs w:val="24"/>
              </w:rPr>
            </w:pPr>
            <w:r w:rsidRPr="00A56D84">
              <w:rPr>
                <w:rFonts w:asciiTheme="majorHAnsi" w:hAnsiTheme="majorHAnsi" w:cstheme="majorHAnsi"/>
                <w:b/>
                <w:color w:val="141414"/>
                <w:sz w:val="24"/>
                <w:szCs w:val="24"/>
              </w:rPr>
              <w:t xml:space="preserve">Tech </w:t>
            </w:r>
            <w:proofErr w:type="gramStart"/>
            <w:r w:rsidRPr="00A56D84">
              <w:rPr>
                <w:rFonts w:asciiTheme="majorHAnsi" w:hAnsiTheme="majorHAnsi" w:cstheme="majorHAnsi"/>
                <w:b/>
                <w:color w:val="141414"/>
                <w:sz w:val="24"/>
                <w:szCs w:val="24"/>
              </w:rPr>
              <w:t>Lead</w:t>
            </w:r>
            <w:proofErr w:type="gramEnd"/>
            <w:r w:rsidRPr="00A56D84">
              <w:rPr>
                <w:rFonts w:asciiTheme="majorHAnsi" w:hAnsiTheme="majorHAnsi" w:cstheme="majorHAnsi"/>
                <w:color w:val="414141"/>
                <w:sz w:val="24"/>
                <w:szCs w:val="24"/>
              </w:rPr>
              <w:t xml:space="preserve"> | Mobikasa • Delhi, India</w:t>
            </w:r>
          </w:p>
        </w:tc>
        <w:tc>
          <w:tcPr>
            <w:tcW w:w="1944" w:type="dxa"/>
            <w:tcMar>
              <w:top w:w="0" w:type="dxa"/>
              <w:left w:w="0" w:type="dxa"/>
              <w:bottom w:w="0" w:type="dxa"/>
              <w:right w:w="0" w:type="dxa"/>
            </w:tcMar>
          </w:tcPr>
          <w:p w14:paraId="1C38C79B" w14:textId="77777777" w:rsidR="00B23586" w:rsidRPr="00A56D84" w:rsidRDefault="00000000">
            <w:pPr>
              <w:spacing w:after="0"/>
              <w:jc w:val="right"/>
              <w:rPr>
                <w:rFonts w:asciiTheme="majorHAnsi" w:hAnsiTheme="majorHAnsi" w:cstheme="majorHAnsi"/>
                <w:sz w:val="24"/>
                <w:szCs w:val="24"/>
              </w:rPr>
            </w:pPr>
            <w:r w:rsidRPr="00A56D84">
              <w:rPr>
                <w:rFonts w:asciiTheme="majorHAnsi" w:hAnsiTheme="majorHAnsi" w:cstheme="majorHAnsi"/>
                <w:b/>
                <w:color w:val="414141"/>
                <w:sz w:val="24"/>
                <w:szCs w:val="24"/>
              </w:rPr>
              <w:t>Sep 2014 - Mar 2015</w:t>
            </w:r>
          </w:p>
        </w:tc>
      </w:tr>
    </w:tbl>
    <w:p w14:paraId="5A35998F" w14:textId="16C26CEA" w:rsidR="00B23586" w:rsidRPr="00A56D84" w:rsidRDefault="00000000" w:rsidP="00E061C6">
      <w:pPr>
        <w:pStyle w:val="CompactBullet"/>
        <w:rPr>
          <w:rFonts w:asciiTheme="majorHAnsi" w:hAnsiTheme="majorHAnsi" w:cstheme="majorHAnsi"/>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color w:val="232323"/>
          <w:sz w:val="24"/>
          <w:szCs w:val="24"/>
        </w:rPr>
        <w:t>Led offshore client engagements across discovery, FRD/SRS, architecture, code review and delivery of multiple web platforms.</w:t>
      </w:r>
    </w:p>
    <w:tbl>
      <w:tblPr>
        <w:tblW w:w="0" w:type="auto"/>
        <w:tblLayout w:type="fixed"/>
        <w:tblLook w:val="04A0" w:firstRow="1" w:lastRow="0" w:firstColumn="1" w:lastColumn="0" w:noHBand="0" w:noVBand="1"/>
      </w:tblPr>
      <w:tblGrid>
        <w:gridCol w:w="8280"/>
        <w:gridCol w:w="1944"/>
      </w:tblGrid>
      <w:tr w:rsidR="00B23586" w:rsidRPr="00A56D84" w14:paraId="4F2BF7F8" w14:textId="77777777">
        <w:tc>
          <w:tcPr>
            <w:tcW w:w="8280" w:type="dxa"/>
            <w:tcMar>
              <w:top w:w="0" w:type="dxa"/>
              <w:left w:w="0" w:type="dxa"/>
              <w:bottom w:w="0" w:type="dxa"/>
              <w:right w:w="0" w:type="dxa"/>
            </w:tcMar>
          </w:tcPr>
          <w:p w14:paraId="5550ECE6" w14:textId="77777777" w:rsidR="00B23586" w:rsidRPr="00A56D84" w:rsidRDefault="00000000">
            <w:pPr>
              <w:spacing w:after="0"/>
              <w:rPr>
                <w:rFonts w:asciiTheme="majorHAnsi" w:hAnsiTheme="majorHAnsi" w:cstheme="majorHAnsi"/>
                <w:sz w:val="24"/>
                <w:szCs w:val="24"/>
              </w:rPr>
            </w:pPr>
            <w:r w:rsidRPr="00A56D84">
              <w:rPr>
                <w:rFonts w:asciiTheme="majorHAnsi" w:hAnsiTheme="majorHAnsi" w:cstheme="majorHAnsi"/>
                <w:b/>
                <w:color w:val="141414"/>
                <w:sz w:val="24"/>
                <w:szCs w:val="24"/>
              </w:rPr>
              <w:t>Web Engineer</w:t>
            </w:r>
            <w:r w:rsidRPr="00A56D84">
              <w:rPr>
                <w:rFonts w:asciiTheme="majorHAnsi" w:hAnsiTheme="majorHAnsi" w:cstheme="majorHAnsi"/>
                <w:color w:val="414141"/>
                <w:sz w:val="24"/>
                <w:szCs w:val="24"/>
              </w:rPr>
              <w:t xml:space="preserve"> | Panash India • Jaipur, India</w:t>
            </w:r>
          </w:p>
        </w:tc>
        <w:tc>
          <w:tcPr>
            <w:tcW w:w="1944" w:type="dxa"/>
            <w:tcMar>
              <w:top w:w="0" w:type="dxa"/>
              <w:left w:w="0" w:type="dxa"/>
              <w:bottom w:w="0" w:type="dxa"/>
              <w:right w:w="0" w:type="dxa"/>
            </w:tcMar>
          </w:tcPr>
          <w:p w14:paraId="1C9D0741" w14:textId="77777777" w:rsidR="00B23586" w:rsidRPr="00A56D84" w:rsidRDefault="00000000">
            <w:pPr>
              <w:spacing w:after="0"/>
              <w:jc w:val="right"/>
              <w:rPr>
                <w:rFonts w:asciiTheme="majorHAnsi" w:hAnsiTheme="majorHAnsi" w:cstheme="majorHAnsi"/>
                <w:sz w:val="24"/>
                <w:szCs w:val="24"/>
              </w:rPr>
            </w:pPr>
            <w:r w:rsidRPr="00A56D84">
              <w:rPr>
                <w:rFonts w:asciiTheme="majorHAnsi" w:hAnsiTheme="majorHAnsi" w:cstheme="majorHAnsi"/>
                <w:b/>
                <w:color w:val="414141"/>
                <w:sz w:val="24"/>
                <w:szCs w:val="24"/>
              </w:rPr>
              <w:t>Sep 2012 - Sep 2014</w:t>
            </w:r>
          </w:p>
        </w:tc>
      </w:tr>
    </w:tbl>
    <w:p w14:paraId="64D4B723" w14:textId="77777777" w:rsidR="00B23586" w:rsidRDefault="00000000">
      <w:pPr>
        <w:pStyle w:val="CompactBullet"/>
        <w:rPr>
          <w:rFonts w:asciiTheme="majorHAnsi" w:hAnsiTheme="majorHAnsi" w:cstheme="majorHAnsi"/>
          <w:color w:val="232323"/>
          <w:sz w:val="24"/>
          <w:szCs w:val="24"/>
        </w:rPr>
      </w:pPr>
      <w:r w:rsidRPr="00A56D84">
        <w:rPr>
          <w:rFonts w:asciiTheme="majorHAnsi" w:hAnsiTheme="majorHAnsi" w:cstheme="majorHAnsi"/>
          <w:sz w:val="24"/>
          <w:szCs w:val="24"/>
        </w:rPr>
        <w:t xml:space="preserve">• </w:t>
      </w:r>
      <w:r w:rsidRPr="00A56D84">
        <w:rPr>
          <w:rFonts w:asciiTheme="majorHAnsi" w:hAnsiTheme="majorHAnsi" w:cstheme="majorHAnsi"/>
          <w:color w:val="232323"/>
          <w:sz w:val="24"/>
          <w:szCs w:val="24"/>
        </w:rPr>
        <w:t>Built e-commerce platforms and a university ERP system; led a four-member engineering team across multiple client programs.</w:t>
      </w:r>
    </w:p>
    <w:p w14:paraId="64A49307" w14:textId="77777777" w:rsidR="00E061C6" w:rsidRPr="00A56D84" w:rsidRDefault="00E061C6">
      <w:pPr>
        <w:pStyle w:val="CompactBullet"/>
        <w:rPr>
          <w:rFonts w:asciiTheme="majorHAnsi" w:hAnsiTheme="majorHAnsi" w:cstheme="majorHAnsi"/>
          <w:sz w:val="24"/>
          <w:szCs w:val="24"/>
        </w:rPr>
      </w:pPr>
    </w:p>
    <w:p w14:paraId="4F82B5F2" w14:textId="77777777" w:rsidR="00B23586" w:rsidRPr="00A56D84" w:rsidRDefault="00000000">
      <w:pPr>
        <w:keepNext/>
        <w:pBdr>
          <w:bottom w:val="single" w:sz="8" w:space="1" w:color="B7C9D6"/>
        </w:pBdr>
        <w:spacing w:before="100" w:after="50"/>
        <w:rPr>
          <w:rFonts w:asciiTheme="majorHAnsi" w:hAnsiTheme="majorHAnsi" w:cstheme="majorHAnsi"/>
          <w:sz w:val="24"/>
          <w:szCs w:val="24"/>
        </w:rPr>
      </w:pPr>
      <w:r w:rsidRPr="00A56D84">
        <w:rPr>
          <w:rFonts w:asciiTheme="majorHAnsi" w:hAnsiTheme="majorHAnsi" w:cstheme="majorHAnsi"/>
          <w:b/>
          <w:color w:val="1F3750"/>
          <w:sz w:val="24"/>
          <w:szCs w:val="24"/>
        </w:rPr>
        <w:t>SELECTED AI TRANSFORMATION PORTFOLIO</w:t>
      </w:r>
    </w:p>
    <w:tbl>
      <w:tblPr>
        <w:tblW w:w="0" w:type="auto"/>
        <w:tblLayout w:type="fixed"/>
        <w:tblLook w:val="04A0" w:firstRow="1" w:lastRow="0" w:firstColumn="1" w:lastColumn="0" w:noHBand="0" w:noVBand="1"/>
      </w:tblPr>
      <w:tblGrid>
        <w:gridCol w:w="2952"/>
        <w:gridCol w:w="7200"/>
      </w:tblGrid>
      <w:tr w:rsidR="00B23586" w:rsidRPr="00A56D84" w14:paraId="16DEDA72" w14:textId="77777777">
        <w:tc>
          <w:tcPr>
            <w:tcW w:w="2952" w:type="dxa"/>
            <w:tcMar>
              <w:top w:w="40" w:type="dxa"/>
              <w:left w:w="40" w:type="dxa"/>
              <w:bottom w:w="40" w:type="dxa"/>
              <w:right w:w="40" w:type="dxa"/>
            </w:tcMar>
          </w:tcPr>
          <w:p w14:paraId="648AE4E5" w14:textId="77777777" w:rsidR="00B23586" w:rsidRPr="00A56D84" w:rsidRDefault="00000000">
            <w:pPr>
              <w:spacing w:after="20"/>
              <w:rPr>
                <w:rFonts w:asciiTheme="majorHAnsi" w:hAnsiTheme="majorHAnsi" w:cstheme="majorHAnsi"/>
                <w:sz w:val="24"/>
                <w:szCs w:val="24"/>
              </w:rPr>
            </w:pPr>
            <w:r w:rsidRPr="00A56D84">
              <w:rPr>
                <w:rFonts w:asciiTheme="majorHAnsi" w:hAnsiTheme="majorHAnsi" w:cstheme="majorHAnsi"/>
                <w:b/>
                <w:color w:val="1F3750"/>
                <w:sz w:val="24"/>
                <w:szCs w:val="24"/>
              </w:rPr>
              <w:t>Customer, Commerce &amp; Growth</w:t>
            </w:r>
          </w:p>
        </w:tc>
        <w:tc>
          <w:tcPr>
            <w:tcW w:w="7200" w:type="dxa"/>
            <w:tcMar>
              <w:top w:w="40" w:type="dxa"/>
              <w:left w:w="40" w:type="dxa"/>
              <w:bottom w:w="40" w:type="dxa"/>
              <w:right w:w="40" w:type="dxa"/>
            </w:tcMar>
          </w:tcPr>
          <w:p w14:paraId="3F7C192E" w14:textId="77777777" w:rsidR="00B23586" w:rsidRPr="00A56D84" w:rsidRDefault="00000000">
            <w:pPr>
              <w:rPr>
                <w:rFonts w:asciiTheme="majorHAnsi" w:hAnsiTheme="majorHAnsi" w:cstheme="majorHAnsi"/>
                <w:sz w:val="24"/>
                <w:szCs w:val="24"/>
              </w:rPr>
            </w:pPr>
            <w:r w:rsidRPr="00A56D84">
              <w:rPr>
                <w:rFonts w:asciiTheme="majorHAnsi" w:hAnsiTheme="majorHAnsi" w:cstheme="majorHAnsi"/>
                <w:sz w:val="24"/>
                <w:szCs w:val="24"/>
              </w:rPr>
              <w:t>Synthetic Personas / Digital Twins • E-genie Commerce Intelligence • Market Share Prediction &amp; Offtake Analytics • Inventory / Availability Intelligence (Fill Rate, DRR, Stock-in-Hand) • AEO/GEO (Convex AI) • Heatmap-led Recommendation &amp; Personalisation</w:t>
            </w:r>
          </w:p>
        </w:tc>
      </w:tr>
      <w:tr w:rsidR="00B23586" w:rsidRPr="00A56D84" w14:paraId="06715816" w14:textId="77777777">
        <w:tc>
          <w:tcPr>
            <w:tcW w:w="2952" w:type="dxa"/>
            <w:tcMar>
              <w:top w:w="40" w:type="dxa"/>
              <w:left w:w="40" w:type="dxa"/>
              <w:bottom w:w="40" w:type="dxa"/>
              <w:right w:w="40" w:type="dxa"/>
            </w:tcMar>
          </w:tcPr>
          <w:p w14:paraId="7E6F0DFE" w14:textId="77777777" w:rsidR="00B23586" w:rsidRPr="00A56D84" w:rsidRDefault="00000000">
            <w:pPr>
              <w:spacing w:after="20"/>
              <w:rPr>
                <w:rFonts w:asciiTheme="majorHAnsi" w:hAnsiTheme="majorHAnsi" w:cstheme="majorHAnsi"/>
                <w:sz w:val="24"/>
                <w:szCs w:val="24"/>
              </w:rPr>
            </w:pPr>
            <w:r w:rsidRPr="00A56D84">
              <w:rPr>
                <w:rFonts w:asciiTheme="majorHAnsi" w:hAnsiTheme="majorHAnsi" w:cstheme="majorHAnsi"/>
                <w:b/>
                <w:color w:val="1F3750"/>
                <w:sz w:val="24"/>
                <w:szCs w:val="24"/>
              </w:rPr>
              <w:t>Enterprise Productivity &amp; Decisions</w:t>
            </w:r>
          </w:p>
        </w:tc>
        <w:tc>
          <w:tcPr>
            <w:tcW w:w="7200" w:type="dxa"/>
            <w:tcMar>
              <w:top w:w="40" w:type="dxa"/>
              <w:left w:w="40" w:type="dxa"/>
              <w:bottom w:w="40" w:type="dxa"/>
              <w:right w:w="40" w:type="dxa"/>
            </w:tcMar>
          </w:tcPr>
          <w:p w14:paraId="0578CD87" w14:textId="77777777" w:rsidR="00B23586" w:rsidRPr="00A56D84" w:rsidRDefault="00000000">
            <w:pPr>
              <w:rPr>
                <w:rFonts w:asciiTheme="majorHAnsi" w:hAnsiTheme="majorHAnsi" w:cstheme="majorHAnsi"/>
                <w:sz w:val="24"/>
                <w:szCs w:val="24"/>
              </w:rPr>
            </w:pPr>
            <w:r w:rsidRPr="00A56D84">
              <w:rPr>
                <w:rFonts w:asciiTheme="majorHAnsi" w:hAnsiTheme="majorHAnsi" w:cstheme="majorHAnsi"/>
                <w:sz w:val="24"/>
                <w:szCs w:val="24"/>
              </w:rPr>
              <w:t>Agentic AI Platform &amp; Agent Builder • Conversational Enterprise Analytics • Automated Reporting &amp; Decision Intelligence • E-commerce Campaign Budget Pacer • AI Interview &amp; Talent Assessment • Workflow Automation</w:t>
            </w:r>
          </w:p>
        </w:tc>
      </w:tr>
      <w:tr w:rsidR="00B23586" w:rsidRPr="00A56D84" w14:paraId="767A9F6D" w14:textId="77777777">
        <w:tc>
          <w:tcPr>
            <w:tcW w:w="2952" w:type="dxa"/>
            <w:tcMar>
              <w:top w:w="40" w:type="dxa"/>
              <w:left w:w="40" w:type="dxa"/>
              <w:bottom w:w="40" w:type="dxa"/>
              <w:right w:w="40" w:type="dxa"/>
            </w:tcMar>
          </w:tcPr>
          <w:p w14:paraId="454D05A1" w14:textId="77777777" w:rsidR="00B23586" w:rsidRPr="00A56D84" w:rsidRDefault="00000000">
            <w:pPr>
              <w:spacing w:after="20"/>
              <w:rPr>
                <w:rFonts w:asciiTheme="majorHAnsi" w:hAnsiTheme="majorHAnsi" w:cstheme="majorHAnsi"/>
                <w:sz w:val="24"/>
                <w:szCs w:val="24"/>
              </w:rPr>
            </w:pPr>
            <w:r w:rsidRPr="00A56D84">
              <w:rPr>
                <w:rFonts w:asciiTheme="majorHAnsi" w:hAnsiTheme="majorHAnsi" w:cstheme="majorHAnsi"/>
                <w:b/>
                <w:color w:val="1F3750"/>
                <w:sz w:val="24"/>
                <w:szCs w:val="24"/>
              </w:rPr>
              <w:t>Finance, Risk &amp; Controls</w:t>
            </w:r>
          </w:p>
        </w:tc>
        <w:tc>
          <w:tcPr>
            <w:tcW w:w="7200" w:type="dxa"/>
            <w:tcMar>
              <w:top w:w="40" w:type="dxa"/>
              <w:left w:w="40" w:type="dxa"/>
              <w:bottom w:w="40" w:type="dxa"/>
              <w:right w:w="40" w:type="dxa"/>
            </w:tcMar>
          </w:tcPr>
          <w:p w14:paraId="36DDCFD3" w14:textId="77777777" w:rsidR="00B23586" w:rsidRPr="00A56D84" w:rsidRDefault="00000000">
            <w:pPr>
              <w:spacing w:after="20"/>
              <w:rPr>
                <w:rFonts w:asciiTheme="majorHAnsi" w:hAnsiTheme="majorHAnsi" w:cstheme="majorHAnsi"/>
                <w:sz w:val="24"/>
                <w:szCs w:val="24"/>
              </w:rPr>
            </w:pPr>
            <w:r w:rsidRPr="00A56D84">
              <w:rPr>
                <w:rFonts w:asciiTheme="majorHAnsi" w:hAnsiTheme="majorHAnsi" w:cstheme="majorHAnsi"/>
                <w:color w:val="232323"/>
                <w:sz w:val="24"/>
                <w:szCs w:val="24"/>
              </w:rPr>
              <w:t>Enterprise FinOps • Reconciliation &amp; Insight Generation • Continuous Control Monitoring (CCM) • Audit IQ • CAPA / Exception &amp; Control Intelligence</w:t>
            </w:r>
          </w:p>
        </w:tc>
      </w:tr>
      <w:tr w:rsidR="00B23586" w:rsidRPr="00A56D84" w14:paraId="2A6B744A" w14:textId="77777777">
        <w:tc>
          <w:tcPr>
            <w:tcW w:w="2952" w:type="dxa"/>
            <w:tcMar>
              <w:top w:w="40" w:type="dxa"/>
              <w:left w:w="40" w:type="dxa"/>
              <w:bottom w:w="40" w:type="dxa"/>
              <w:right w:w="40" w:type="dxa"/>
            </w:tcMar>
          </w:tcPr>
          <w:p w14:paraId="59430744" w14:textId="77777777" w:rsidR="00B23586" w:rsidRPr="00A56D84" w:rsidRDefault="00000000">
            <w:pPr>
              <w:spacing w:after="20"/>
              <w:rPr>
                <w:rFonts w:asciiTheme="majorHAnsi" w:hAnsiTheme="majorHAnsi" w:cstheme="majorHAnsi"/>
                <w:sz w:val="24"/>
                <w:szCs w:val="24"/>
              </w:rPr>
            </w:pPr>
            <w:r w:rsidRPr="00A56D84">
              <w:rPr>
                <w:rFonts w:asciiTheme="majorHAnsi" w:hAnsiTheme="majorHAnsi" w:cstheme="majorHAnsi"/>
                <w:b/>
                <w:color w:val="1F3750"/>
                <w:sz w:val="24"/>
                <w:szCs w:val="24"/>
              </w:rPr>
              <w:t>Data &amp; AI Platform Foundation</w:t>
            </w:r>
          </w:p>
        </w:tc>
        <w:tc>
          <w:tcPr>
            <w:tcW w:w="7200" w:type="dxa"/>
            <w:tcMar>
              <w:top w:w="40" w:type="dxa"/>
              <w:left w:w="40" w:type="dxa"/>
              <w:bottom w:w="40" w:type="dxa"/>
              <w:right w:w="40" w:type="dxa"/>
            </w:tcMar>
          </w:tcPr>
          <w:p w14:paraId="7B7AA07A" w14:textId="77777777" w:rsidR="00B23586" w:rsidRPr="00A56D84" w:rsidRDefault="00000000">
            <w:pPr>
              <w:spacing w:after="20"/>
              <w:rPr>
                <w:rFonts w:asciiTheme="majorHAnsi" w:hAnsiTheme="majorHAnsi" w:cstheme="majorHAnsi"/>
                <w:sz w:val="24"/>
                <w:szCs w:val="24"/>
              </w:rPr>
            </w:pPr>
            <w:r w:rsidRPr="00A56D84">
              <w:rPr>
                <w:rFonts w:asciiTheme="majorHAnsi" w:hAnsiTheme="majorHAnsi" w:cstheme="majorHAnsi"/>
                <w:color w:val="232323"/>
                <w:sz w:val="24"/>
                <w:szCs w:val="24"/>
              </w:rPr>
              <w:t>LLM/RAG &amp; Multi-Agent Orchestration • Enterprise Data/Lakehouse • Cloud-Native Architecture • Model Evaluation &amp; Human-in-the-Loop Governance</w:t>
            </w:r>
          </w:p>
        </w:tc>
      </w:tr>
    </w:tbl>
    <w:p w14:paraId="7758FA0B" w14:textId="77777777" w:rsidR="00B23586" w:rsidRPr="00A56D84" w:rsidRDefault="00000000">
      <w:pPr>
        <w:keepNext/>
        <w:pBdr>
          <w:bottom w:val="single" w:sz="8" w:space="1" w:color="B7C9D6"/>
        </w:pBdr>
        <w:spacing w:before="100" w:after="50"/>
        <w:rPr>
          <w:rFonts w:asciiTheme="majorHAnsi" w:hAnsiTheme="majorHAnsi" w:cstheme="majorHAnsi"/>
          <w:sz w:val="24"/>
          <w:szCs w:val="24"/>
        </w:rPr>
      </w:pPr>
      <w:r w:rsidRPr="00A56D84">
        <w:rPr>
          <w:rFonts w:asciiTheme="majorHAnsi" w:hAnsiTheme="majorHAnsi" w:cstheme="majorHAnsi"/>
          <w:b/>
          <w:color w:val="1F3750"/>
          <w:sz w:val="24"/>
          <w:szCs w:val="24"/>
        </w:rPr>
        <w:t>CORE COMPETENCIES</w:t>
      </w:r>
    </w:p>
    <w:p w14:paraId="2B7D7CEC" w14:textId="77777777" w:rsidR="00B23586" w:rsidRPr="00A56D84" w:rsidRDefault="00000000">
      <w:pPr>
        <w:spacing w:after="40" w:line="247" w:lineRule="auto"/>
        <w:rPr>
          <w:rFonts w:asciiTheme="majorHAnsi" w:hAnsiTheme="majorHAnsi" w:cstheme="majorHAnsi"/>
          <w:sz w:val="24"/>
          <w:szCs w:val="24"/>
        </w:rPr>
      </w:pPr>
      <w:r w:rsidRPr="00A56D84">
        <w:rPr>
          <w:rFonts w:asciiTheme="majorHAnsi" w:hAnsiTheme="majorHAnsi" w:cstheme="majorHAnsi"/>
          <w:color w:val="232323"/>
          <w:sz w:val="24"/>
          <w:szCs w:val="24"/>
        </w:rPr>
        <w:t>Enterprise AI Strategy &amp; Roadmaps • CXO Advisory • AI Use-Case Discovery &amp; Prioritisation • Business Case / ROI • GenAI &amp; Agentic AI • ML &amp; Predictive Analytics • AI Governance &amp; Responsible AI • Retail / Commerce / Customer Intelligence • Change, Adoption &amp; AI Literacy • Product Strategy &amp; Monetisation • Data &amp; Lakehouse Platforms • Cloud / FinOps • Organisation Leadership (100+ teams) • Vendor / Build-vs-Buy Evaluation</w:t>
      </w:r>
    </w:p>
    <w:p w14:paraId="082E260E" w14:textId="77777777" w:rsidR="00B23586" w:rsidRPr="00A56D84" w:rsidRDefault="00000000">
      <w:pPr>
        <w:keepNext/>
        <w:pBdr>
          <w:bottom w:val="single" w:sz="8" w:space="1" w:color="B7C9D6"/>
        </w:pBdr>
        <w:spacing w:before="100" w:after="50"/>
        <w:rPr>
          <w:rFonts w:asciiTheme="majorHAnsi" w:hAnsiTheme="majorHAnsi" w:cstheme="majorHAnsi"/>
          <w:sz w:val="24"/>
          <w:szCs w:val="24"/>
        </w:rPr>
      </w:pPr>
      <w:r w:rsidRPr="00A56D84">
        <w:rPr>
          <w:rFonts w:asciiTheme="majorHAnsi" w:hAnsiTheme="majorHAnsi" w:cstheme="majorHAnsi"/>
          <w:b/>
          <w:color w:val="1F3750"/>
          <w:sz w:val="24"/>
          <w:szCs w:val="24"/>
        </w:rPr>
        <w:t>TECHNOLOGY DEPTH</w:t>
      </w:r>
    </w:p>
    <w:p w14:paraId="6D76A307" w14:textId="77777777" w:rsidR="00B23586" w:rsidRPr="00A56D84" w:rsidRDefault="00000000">
      <w:pPr>
        <w:spacing w:after="40"/>
        <w:rPr>
          <w:rFonts w:asciiTheme="majorHAnsi" w:hAnsiTheme="majorHAnsi" w:cstheme="majorHAnsi"/>
          <w:sz w:val="24"/>
          <w:szCs w:val="24"/>
        </w:rPr>
      </w:pPr>
      <w:r w:rsidRPr="00A56D84">
        <w:rPr>
          <w:rFonts w:asciiTheme="majorHAnsi" w:hAnsiTheme="majorHAnsi" w:cstheme="majorHAnsi"/>
          <w:color w:val="232323"/>
          <w:sz w:val="24"/>
          <w:szCs w:val="24"/>
        </w:rPr>
        <w:t>OpenAI • AWS Bedrock • LangChain / LangGraph • Multi-Agent Orchestration • RAG • Databricks • ClickHouse • S3 / Parquet • AWS • Azure • Microservices • DevOps / CI-CD • Enterprise Integrations</w:t>
      </w:r>
    </w:p>
    <w:p w14:paraId="7B59295E" w14:textId="77777777" w:rsidR="00B23586" w:rsidRPr="00A56D84" w:rsidRDefault="00000000">
      <w:pPr>
        <w:keepNext/>
        <w:pBdr>
          <w:bottom w:val="single" w:sz="8" w:space="1" w:color="B7C9D6"/>
        </w:pBdr>
        <w:spacing w:before="100" w:after="50"/>
        <w:rPr>
          <w:rFonts w:asciiTheme="majorHAnsi" w:hAnsiTheme="majorHAnsi" w:cstheme="majorHAnsi"/>
          <w:sz w:val="24"/>
          <w:szCs w:val="24"/>
        </w:rPr>
      </w:pPr>
      <w:r w:rsidRPr="00A56D84">
        <w:rPr>
          <w:rFonts w:asciiTheme="majorHAnsi" w:hAnsiTheme="majorHAnsi" w:cstheme="majorHAnsi"/>
          <w:b/>
          <w:color w:val="1F3750"/>
          <w:sz w:val="24"/>
          <w:szCs w:val="24"/>
        </w:rPr>
        <w:t>EDUCATION</w:t>
      </w:r>
    </w:p>
    <w:p w14:paraId="2694F5A8" w14:textId="77777777" w:rsidR="00B23586" w:rsidRPr="00A56D84" w:rsidRDefault="00000000">
      <w:pPr>
        <w:spacing w:after="20"/>
        <w:rPr>
          <w:rFonts w:asciiTheme="majorHAnsi" w:hAnsiTheme="majorHAnsi" w:cstheme="majorHAnsi"/>
          <w:sz w:val="24"/>
          <w:szCs w:val="24"/>
        </w:rPr>
      </w:pPr>
      <w:proofErr w:type="gramStart"/>
      <w:r w:rsidRPr="00A56D84">
        <w:rPr>
          <w:rFonts w:asciiTheme="majorHAnsi" w:hAnsiTheme="majorHAnsi" w:cstheme="majorHAnsi"/>
          <w:b/>
          <w:color w:val="232323"/>
          <w:sz w:val="24"/>
          <w:szCs w:val="24"/>
        </w:rPr>
        <w:t>B.Tech</w:t>
      </w:r>
      <w:proofErr w:type="gramEnd"/>
      <w:r w:rsidRPr="00A56D84">
        <w:rPr>
          <w:rFonts w:asciiTheme="majorHAnsi" w:hAnsiTheme="majorHAnsi" w:cstheme="majorHAnsi"/>
          <w:b/>
          <w:color w:val="232323"/>
          <w:sz w:val="24"/>
          <w:szCs w:val="24"/>
        </w:rPr>
        <w:t xml:space="preserve"> in Information Technology</w:t>
      </w:r>
      <w:r w:rsidRPr="00A56D84">
        <w:rPr>
          <w:rFonts w:asciiTheme="majorHAnsi" w:hAnsiTheme="majorHAnsi" w:cstheme="majorHAnsi"/>
          <w:color w:val="3C3C3C"/>
          <w:sz w:val="24"/>
          <w:szCs w:val="24"/>
        </w:rPr>
        <w:t xml:space="preserve"> | IET Alwar, Rajasthan Technical University (RTU) | 2012</w:t>
      </w:r>
    </w:p>
    <w:sectPr w:rsidR="00B23586" w:rsidRPr="00A56D84" w:rsidSect="00034616">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9A9436" w14:textId="77777777" w:rsidR="00412CC4" w:rsidRDefault="00412CC4">
      <w:pPr>
        <w:spacing w:after="0" w:line="240" w:lineRule="auto"/>
        <w:rPr>
          <w:rFonts w:hint="eastAsia"/>
        </w:rPr>
      </w:pPr>
      <w:r>
        <w:separator/>
      </w:r>
    </w:p>
  </w:endnote>
  <w:endnote w:type="continuationSeparator" w:id="0">
    <w:p w14:paraId="061C86F3" w14:textId="77777777" w:rsidR="00412CC4" w:rsidRDefault="00412CC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6230C3" w14:textId="77777777" w:rsidR="00B23586" w:rsidRDefault="00000000">
    <w:pPr>
      <w:pStyle w:val="Footer"/>
      <w:jc w:val="center"/>
      <w:rPr>
        <w:rFonts w:hint="eastAsia"/>
      </w:rPr>
    </w:pPr>
    <w:r>
      <w:rPr>
        <w:color w:val="7D7D7D"/>
        <w:sz w:val="15"/>
      </w:rPr>
      <w:t>Bhashit Bhardwaj | AI Transformation &amp; Innovation Leadership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2A5CFC" w14:textId="77777777" w:rsidR="00412CC4" w:rsidRDefault="00412CC4">
      <w:pPr>
        <w:spacing w:after="0" w:line="240" w:lineRule="auto"/>
        <w:rPr>
          <w:rFonts w:hint="eastAsia"/>
        </w:rPr>
      </w:pPr>
      <w:r>
        <w:separator/>
      </w:r>
    </w:p>
  </w:footnote>
  <w:footnote w:type="continuationSeparator" w:id="0">
    <w:p w14:paraId="5CFC1D35" w14:textId="77777777" w:rsidR="00412CC4" w:rsidRDefault="00412CC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2401977">
    <w:abstractNumId w:val="8"/>
  </w:num>
  <w:num w:numId="2" w16cid:durableId="1536039080">
    <w:abstractNumId w:val="6"/>
  </w:num>
  <w:num w:numId="3" w16cid:durableId="1666206642">
    <w:abstractNumId w:val="5"/>
  </w:num>
  <w:num w:numId="4" w16cid:durableId="1587836864">
    <w:abstractNumId w:val="4"/>
  </w:num>
  <w:num w:numId="5" w16cid:durableId="149643709">
    <w:abstractNumId w:val="7"/>
  </w:num>
  <w:num w:numId="6" w16cid:durableId="840512786">
    <w:abstractNumId w:val="3"/>
  </w:num>
  <w:num w:numId="7" w16cid:durableId="772939022">
    <w:abstractNumId w:val="2"/>
  </w:num>
  <w:num w:numId="8" w16cid:durableId="1425682572">
    <w:abstractNumId w:val="1"/>
  </w:num>
  <w:num w:numId="9" w16cid:durableId="16076125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7916"/>
    <w:rsid w:val="0029639D"/>
    <w:rsid w:val="00326F90"/>
    <w:rsid w:val="00361292"/>
    <w:rsid w:val="00412CC4"/>
    <w:rsid w:val="00707D4A"/>
    <w:rsid w:val="00A56D84"/>
    <w:rsid w:val="00A97FC6"/>
    <w:rsid w:val="00AA1D8D"/>
    <w:rsid w:val="00B23586"/>
    <w:rsid w:val="00B47730"/>
    <w:rsid w:val="00CB0664"/>
    <w:rsid w:val="00E061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EEEE7B"/>
  <w14:defaultImageDpi w14:val="300"/>
  <w15:docId w15:val="{5D704F10-0DEC-A845-A435-CD6C3175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line="245" w:lineRule="auto"/>
    </w:pPr>
    <w:rPr>
      <w:rFonts w:ascii="Liberation Sans" w:hAnsi="Liberation San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Bullet">
    <w:name w:val="Compact Bullet"/>
    <w:pPr>
      <w:spacing w:after="30" w:line="245" w:lineRule="auto"/>
      <w:ind w:left="259" w:hanging="173"/>
    </w:pPr>
    <w:rPr>
      <w:rFonts w:ascii="Liberation Sans" w:hAnsi="Liberation San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bhashitbhardwa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1391</Words>
  <Characters>7931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 Tech Support</cp:lastModifiedBy>
  <cp:revision>9</cp:revision>
  <dcterms:created xsi:type="dcterms:W3CDTF">2013-12-23T23:15:00Z</dcterms:created>
  <dcterms:modified xsi:type="dcterms:W3CDTF">2026-09-18T09:53:00Z</dcterms:modified>
  <cp:category/>
</cp:coreProperties>
</file>